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0" w:after="240"/>
        <w:jc w:val="center"/>
      </w:pPr>
      <w:r>
        <w:rPr>
          <w:b/>
          <w:color w:val="141F1D"/>
          <w:sz w:val="68"/>
        </w:rPr>
        <w:t>SpaceOnne</w:t>
      </w:r>
    </w:p>
    <w:p>
      <w:pPr>
        <w:spacing w:after="360"/>
        <w:jc w:val="center"/>
      </w:pPr>
      <w:r>
        <w:rPr>
          <w:b/>
          <w:color w:val="1F4D78"/>
          <w:sz w:val="36"/>
        </w:rPr>
        <w:t>Whitepaper</w:t>
      </w:r>
    </w:p>
    <w:p>
      <w:pPr>
        <w:spacing w:after="160"/>
        <w:jc w:val="center"/>
      </w:pPr>
      <w:r>
        <w:rPr>
          <w:color w:val="5D6F6A"/>
          <w:sz w:val="26"/>
        </w:rPr>
        <w:t>A cartographic RWA ecosystem built around ONNE, Protocol 101, and Atlas</w:t>
      </w:r>
    </w:p>
    <w:p>
      <w:pPr>
        <w:spacing w:after="840"/>
        <w:jc w:val="center"/>
      </w:pPr>
      <w:r>
        <w:rPr>
          <w:color w:val="5D6F6A"/>
          <w:sz w:val="21"/>
        </w:rPr>
        <w:t>Version: June 26, 2026</w:t>
      </w:r>
    </w:p>
    <w:tbl>
      <w:tblPr>
        <w:tblW w:type="auto" w:w="0"/>
        <w:jc w:val="center"/>
        <w:tblLayout w:type="fixed"/>
        <w:tblLook w:firstColumn="1" w:firstRow="1" w:lastColumn="0" w:lastRow="0" w:noHBand="0" w:noVBand="1" w:val="04A0"/>
      </w:tblPr>
      <w:tblGrid>
        <w:gridCol w:w="9360"/>
      </w:tblGrid>
      <w:tr>
        <w:tc>
          <w:tcPr>
            <w:tcW w:type="dxa" w:w="9360"/>
            <w:shd w:fill="EAF7F0"/>
            <w:tcBorders>
              <w:top w:val="single" w:sz="6" w:space="0" w:color="BBDDCF"/>
              <w:left w:val="single" w:sz="6" w:space="0" w:color="BBDDCF"/>
              <w:bottom w:val="single" w:sz="6" w:space="0" w:color="BBDDCF"/>
              <w:right w:val="single" w:sz="6" w:space="0" w:color="BBDDCF"/>
            </w:tcBorders>
          </w:tcPr>
          <w:p>
            <w:pPr>
              <w:spacing w:before="100" w:after="60"/>
            </w:pPr>
            <w:r>
              <w:rPr>
                <w:b/>
                <w:color w:val="1F9970"/>
                <w:sz w:val="20"/>
              </w:rPr>
              <w:t>In one sentence</w:t>
            </w:r>
          </w:p>
          <w:p>
            <w:pPr>
              <w:spacing w:after="100"/>
            </w:pPr>
            <w:r>
              <w:t>SpaceOnne turns useful action into a digital asset: a user creates 360 or 3D content; the content passes GPS, AI-agent, and miner validation; it is stored on the map and in the database; and ONNE is distributed between the creator and validators.</w:t>
            </w:r>
          </w:p>
        </w:tc>
      </w:tr>
    </w:tbl>
    <w:p>
      <w:r>
        <w:br w:type="page"/>
      </w:r>
    </w:p>
    <w:p>
      <w:pPr>
        <w:pStyle w:val="Heading1"/>
      </w:pPr>
      <w:r>
        <w:t>1. Executive summary</w:t>
      </w:r>
    </w:p>
    <w:p>
      <w:r>
        <w:t>SpaceOnne is a cartographic RWA ecosystem that combines user activity, verified spatial content, Protocol 101 staking, Atlas validation, a wallet, and a community in one product.</w:t>
      </w:r>
    </w:p>
    <w:p>
      <w:r>
        <w:t>The core product idea is simple: useful action in the real world becomes a digital asset. A user creates 360 or 3D content through the platform software. The result passes GPS proof, AI-agent review, and miner validation, after which it becomes part of the shared digital-space database. ONNE is distributed between the content creator and validators.</w:t>
      </w:r>
    </w:p>
    <w:p>
      <w:r>
        <w:t>The public product frame is a Web3 cartographic ecosystem with a wallet, staking, fee-free internal transfers, a community, and a data layer connected to ONNE.</w:t>
      </w:r>
    </w:p>
    <w:p>
      <w:pPr>
        <w:pStyle w:val="Heading1"/>
      </w:pPr>
      <w:r>
        <w:t>2. Product idea</w:t>
      </w:r>
    </w:p>
    <w:p>
      <w:r>
        <w:t>Most mapping and spatial-data products are built by centralized operators. Users and contractors create activity in the real world, but the economic value of that activity usually flows to other market participants. SpaceOnne reverses that flow: people who create useful spatial content participate in the economy of the digital asset that this content supports.</w:t>
      </w:r>
    </w:p>
    <w:p>
      <w:pPr>
        <w:pStyle w:val="ListBullet"/>
        <w:spacing w:after="80"/>
      </w:pPr>
      <w:r>
        <w:t>360 tasks record a specific point and create a verified spatial entry.</w:t>
      </w:r>
    </w:p>
    <w:p>
      <w:pPr>
        <w:pStyle w:val="ListBullet"/>
        <w:spacing w:after="80"/>
      </w:pPr>
      <w:r>
        <w:t>3D tasks record a route and make it possible to collect many points while moving through a city.</w:t>
      </w:r>
    </w:p>
    <w:p>
      <w:pPr>
        <w:pStyle w:val="ListBullet"/>
        <w:spacing w:after="80"/>
      </w:pPr>
      <w:r>
        <w:t>Couriers, riders, students, field workers, and ordinary users can turn movement through physical space into useful digital coverage.</w:t>
      </w:r>
    </w:p>
    <w:p>
      <w:pPr>
        <w:pStyle w:val="ListBullet"/>
        <w:spacing w:after="80"/>
      </w:pPr>
      <w:r>
        <w:t>An accepted result becomes part of the shared map and database, creating a real digital asset rather than only an interface mechanic.</w:t>
      </w:r>
    </w:p>
    <w:tbl>
      <w:tblPr>
        <w:tblW w:type="auto" w:w="0"/>
        <w:jc w:val="center"/>
        <w:tblLayout w:type="fixed"/>
        <w:tblLook w:firstColumn="1" w:firstRow="1" w:lastColumn="0" w:lastRow="0" w:noHBand="0" w:noVBand="1" w:val="04A0"/>
      </w:tblPr>
      <w:tblGrid>
        <w:gridCol w:w="9360"/>
      </w:tblGrid>
      <w:tr>
        <w:tc>
          <w:tcPr>
            <w:tcW w:type="dxa" w:w="9360"/>
            <w:shd w:fill="EAF7F0"/>
            <w:tcBorders>
              <w:top w:val="single" w:sz="6" w:space="0" w:color="BBDDCF"/>
              <w:left w:val="single" w:sz="6" w:space="0" w:color="BBDDCF"/>
              <w:bottom w:val="single" w:sz="6" w:space="0" w:color="BBDDCF"/>
              <w:right w:val="single" w:sz="6" w:space="0" w:color="BBDDCF"/>
            </w:tcBorders>
          </w:tcPr>
          <w:p>
            <w:pPr>
              <w:spacing w:before="100" w:after="60"/>
            </w:pPr>
            <w:r>
              <w:rPr>
                <w:b/>
                <w:color w:val="1F9970"/>
                <w:sz w:val="20"/>
              </w:rPr>
              <w:t>Positioning</w:t>
            </w:r>
          </w:p>
          <w:p>
            <w:pPr>
              <w:spacing w:after="100"/>
            </w:pPr>
            <w:r>
              <w:t>SpaceOnne turns everyday actions into a real digital asset. ONNE is connected to verified digital space created by users and validated by the ecosystem.</w:t>
            </w:r>
          </w:p>
        </w:tc>
      </w:tr>
    </w:tbl>
    <w:p>
      <w:pPr>
        <w:pStyle w:val="Heading1"/>
      </w:pPr>
      <w:r>
        <w:t>3. Ecosystem architecture</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944"/>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Layer</w:t>
            </w:r>
          </w:p>
        </w:tc>
        <w:tc>
          <w:tcPr>
            <w:tcW w:type="dxa" w:w="3384"/>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Role</w:t>
            </w:r>
          </w:p>
        </w:tc>
        <w:tc>
          <w:tcPr>
            <w:tcW w:type="dxa" w:w="4032"/>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Value for the user</w:t>
            </w:r>
          </w:p>
        </w:tc>
      </w:tr>
      <w:tr>
        <w:trPr>
          <w:cantSplit/>
        </w:trPr>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SpaceOnne</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Unified product and brand</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One ecosystem for ONNE, content, wallet, staking, and community</w:t>
            </w:r>
          </w:p>
        </w:tc>
      </w:tr>
      <w:tr>
        <w:trPr>
          <w:cantSplit/>
        </w:trPr>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Atlas</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Spatial-content layer</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360 and 3D tasks, GPS proof, AI review, miner validation, and storage on the map and in the database</w:t>
            </w:r>
          </w:p>
        </w:tc>
      </w:tr>
      <w:tr>
        <w:trPr>
          <w:cantSplit/>
        </w:trPr>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Protocol 101</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Staking and miner-utility layer</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ONNE staking, miner levels, reward logic, and the validator role</w:t>
            </w:r>
          </w:p>
        </w:tc>
      </w:tr>
      <w:tr>
        <w:trPr>
          <w:cantSplit/>
        </w:trPr>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Wallet</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Asset operations</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ONNE, TON, USDT, and other assets; deposits, withdrawals, exchange, and fee-free internal transfers</w:t>
            </w:r>
          </w:p>
        </w:tc>
      </w:tr>
      <w:tr>
        <w:trPr>
          <w:cantSplit/>
        </w:trPr>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Community</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Social layer</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Chats, groups, achievements, and shared ecosystem activity</w:t>
            </w:r>
          </w:p>
        </w:tc>
      </w:tr>
    </w:tbl>
    <w:p>
      <w:pPr>
        <w:spacing w:after="40"/>
      </w:pPr>
    </w:p>
    <w:p>
      <w:pPr>
        <w:pStyle w:val="Heading1"/>
      </w:pPr>
      <w:r>
        <w:t>4. Atlas proof flow</w:t>
      </w:r>
    </w:p>
    <w:p>
      <w:r>
        <w:t>Atlas is the spatial-content earning and verification layer. The same public logic is used in the landing-page visualization and in the in-app guide.</w:t>
      </w:r>
    </w:p>
    <w:p>
      <w:pPr>
        <w:pStyle w:val="ListBullet"/>
        <w:spacing w:after="80"/>
      </w:pPr>
      <w:r>
        <w:t>The user selects a task type: 360 for a point or 3D for a route.</w:t>
      </w:r>
    </w:p>
    <w:p>
      <w:pPr>
        <w:pStyle w:val="ListBullet"/>
        <w:spacing w:after="80"/>
      </w:pPr>
      <w:r>
        <w:t>The task is completed through the platform software; GPS proof confirms location and movement.</w:t>
      </w:r>
    </w:p>
    <w:p>
      <w:pPr>
        <w:pStyle w:val="ListBullet"/>
        <w:spacing w:after="80"/>
      </w:pPr>
      <w:r>
        <w:t>AI agents check the quality, integrity, and technical correctness of captured content.</w:t>
      </w:r>
    </w:p>
    <w:p>
      <w:pPr>
        <w:pStyle w:val="ListBullet"/>
        <w:spacing w:after="80"/>
      </w:pPr>
      <w:r>
        <w:t>Miner owners validate the result after the AI stage and approve or reject the content.</w:t>
      </w:r>
    </w:p>
    <w:p>
      <w:pPr>
        <w:pStyle w:val="ListBullet"/>
        <w:spacing w:after="80"/>
      </w:pPr>
      <w:r>
        <w:t>Accepted content is stored in the map layer and database.</w:t>
      </w:r>
    </w:p>
    <w:p>
      <w:pPr>
        <w:pStyle w:val="ListBullet"/>
        <w:spacing w:after="80"/>
      </w:pPr>
      <w:r>
        <w:t>The blockchain distribution layer releases ONNE: the user receives the main reward and miners receive a validator commission.</w:t>
      </w:r>
    </w:p>
    <w:p>
      <w:pPr>
        <w:pStyle w:val="Heading1"/>
      </w:pPr>
      <w:r>
        <w:t>5. Protocol 101 and miners</w:t>
      </w:r>
    </w:p>
    <w:p>
      <w:r>
        <w:t>Protocol 101 is the staking layer inside SpaceOnne. It gives miners clear utility: access to staking and a role in Atlas validation. In public materials, a miner is not presented as a collectible or decorative card; it is a digital ecosystem product with a practical role.</w:t>
      </w:r>
    </w:p>
    <w:p>
      <w:pPr>
        <w:pStyle w:val="ListBullet"/>
        <w:spacing w:after="80"/>
      </w:pPr>
      <w:r>
        <w:t>Staking utility: users place ONNE in staking and receive reward mechanics based on the miner level and current ecosystem rules.</w:t>
      </w:r>
    </w:p>
    <w:p>
      <w:pPr>
        <w:pStyle w:val="ListBullet"/>
        <w:spacing w:after="80"/>
      </w:pPr>
      <w:r>
        <w:t>Validation utility: miner owners participate in Atlas content validation after AI-agent review.</w:t>
      </w:r>
    </w:p>
    <w:p>
      <w:pPr>
        <w:pStyle w:val="ListBullet"/>
        <w:spacing w:after="80"/>
      </w:pPr>
      <w:r>
        <w:t>Commission utility: miner owners receive a validator commission when accepted content leads to ONNE distribution.</w:t>
      </w:r>
    </w:p>
    <w:p>
      <w:pPr>
        <w:pStyle w:val="ListBullet"/>
        <w:spacing w:after="80"/>
      </w:pPr>
      <w:r>
        <w:t>Deflationary utility: ONNE spent to purchase miners may be burned, reducing pressure on freely circulating supply.</w:t>
      </w:r>
    </w:p>
    <w:p>
      <w:pPr>
        <w:pStyle w:val="Heading1"/>
      </w:pPr>
      <w:r>
        <w:t>6. Wallet, assets, and community</w:t>
      </w:r>
    </w:p>
    <w:p>
      <w:r>
        <w:t>The wallet works with ONNE, TON, USDT, and other assets. The application supports deposits, withdrawals, exchange through decentralized tools, staking, and internal transfers without a SpaceOnne fee, subject to network and external-provider terms.</w:t>
      </w:r>
    </w:p>
    <w:tbl>
      <w:tblPr>
        <w:tblW w:type="auto" w:w="0"/>
        <w:jc w:val="center"/>
        <w:tblLayout w:type="fixed"/>
        <w:tblLook w:firstColumn="1" w:firstRow="1" w:lastColumn="0" w:lastRow="0" w:noHBand="0" w:noVBand="1" w:val="04A0"/>
      </w:tblPr>
      <w:tblGrid>
        <w:gridCol w:w="4680"/>
        <w:gridCol w:w="4680"/>
      </w:tblGrid>
      <w:tr>
        <w:trPr>
          <w:tblHeader w:val="true"/>
        </w:trPr>
        <w:tc>
          <w:tcPr>
            <w:tcW w:type="dxa" w:w="3024"/>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Feature</w:t>
            </w:r>
          </w:p>
        </w:tc>
        <w:tc>
          <w:tcPr>
            <w:tcW w:type="dxa" w:w="6336"/>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Scope</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Assets</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ONNE, TON, USDT, and other supported assets</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Deposits / withdrawals</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Deposits from external addresses and withdrawals to external addresses where supported</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Exchange tools</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Asset exchange through decentralized tools within the application flow</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Fee-free internal transfers</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Internal transfers without a SpaceOnne fee unless the rules of a particular feature state otherwise</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Community</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Chats, groups, activity sharing, and achievements</w:t>
            </w:r>
          </w:p>
        </w:tc>
      </w:tr>
    </w:tbl>
    <w:p>
      <w:pPr>
        <w:spacing w:after="40"/>
      </w:pPr>
    </w:p>
    <w:p>
      <w:pPr>
        <w:pStyle w:val="Heading1"/>
      </w:pPr>
      <w:r>
        <w:t>7. ONNE tokenomics</w:t>
      </w:r>
    </w:p>
    <w:p>
      <w:r>
        <w:t>ONNE is the SpaceOnne ecosystem token. It is used for rewards, staking, miner utility, validator commissions, and the economic connection between verified content and the digital spatial asset.</w:t>
      </w:r>
    </w:p>
    <w:tbl>
      <w:tblPr>
        <w:tblW w:type="auto" w:w="0"/>
        <w:jc w:val="center"/>
        <w:tblLayout w:type="fixed"/>
        <w:tblLook w:firstColumn="1" w:firstRow="1" w:lastColumn="0" w:lastRow="0" w:noHBand="0" w:noVBand="1" w:val="04A0"/>
      </w:tblPr>
      <w:tblGrid>
        <w:gridCol w:w="4680"/>
        <w:gridCol w:w="4680"/>
      </w:tblGrid>
      <w:tr>
        <w:trPr>
          <w:tblHeader w:val="true"/>
        </w:trPr>
        <w:tc>
          <w:tcPr>
            <w:tcW w:type="dxa" w:w="2880"/>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Metric</w:t>
            </w:r>
          </w:p>
        </w:tc>
        <w:tc>
          <w:tcPr>
            <w:tcW w:type="dxa" w:w="6480"/>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Value</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Total supply</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1,010,000,000 ONNE</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Network</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TON</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Official contract</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EQAhDhLYceb_BrItaTPK7U6Y4xLnEXsQO9iOILEz37CIcwFe</w:t>
            </w:r>
          </w:p>
        </w:tc>
      </w:tr>
    </w:tbl>
    <w:p>
      <w:pPr>
        <w:spacing w:after="40"/>
      </w:pP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2952"/>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Allocation pool</w:t>
            </w:r>
          </w:p>
        </w:tc>
        <w:tc>
          <w:tcPr>
            <w:tcW w:type="dxa" w:w="1656"/>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ONNE</w:t>
            </w:r>
          </w:p>
        </w:tc>
        <w:tc>
          <w:tcPr>
            <w:tcW w:type="dxa" w:w="1296"/>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 of supply</w:t>
            </w:r>
          </w:p>
        </w:tc>
        <w:tc>
          <w:tcPr>
            <w:tcW w:type="dxa" w:w="3456"/>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Purpose</w:t>
            </w:r>
          </w:p>
        </w:tc>
      </w:tr>
      <w:tr>
        <w:trPr>
          <w:cantSplit/>
        </w:trPr>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Atlas / staking / rewards / ecosystem</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300,000,000</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29.703%</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Tasks, Atlas, staking rewards, and ecosystem incentives</w:t>
            </w:r>
          </w:p>
        </w:tc>
      </w:tr>
      <w:tr>
        <w:trPr>
          <w:cantSplit/>
        </w:trPr>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DEX/CEX liquidity + market making</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240,000,000</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23.762%</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Liquidity, order books, market-making inventory, and market support</w:t>
            </w:r>
          </w:p>
        </w:tc>
      </w:tr>
      <w:tr>
        <w:trPr>
          <w:cantSplit/>
        </w:trPr>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CEX listings / partners / BD / operations</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160,000,000</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15.842%</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Listings, partnerships, business development, and launch operations</w:t>
            </w:r>
          </w:p>
        </w:tc>
      </w:tr>
      <w:tr>
        <w:trPr>
          <w:cantSplit/>
        </w:trPr>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Treasury / reserve</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130,000,000</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12.871%</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Strategic reserve and unforeseen needs</w:t>
            </w:r>
          </w:p>
        </w:tc>
      </w:tr>
      <w:tr>
        <w:trPr>
          <w:cantSplit/>
        </w:trPr>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Team, locked vesting</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100,000,000</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9.901%</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Team allocation under long vesting, not freely circulating at launch</w:t>
            </w:r>
          </w:p>
        </w:tc>
      </w:tr>
      <w:tr>
        <w:trPr>
          <w:cantSplit/>
        </w:trPr>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Pre-DEX ONNE Point conversion</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80,000,000</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7.921%</w:t>
            </w:r>
          </w:p>
        </w:tc>
        <w:tc>
          <w:tcPr>
            <w:tcW w:type="dxa" w:w="234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Early-participation conversion pool with staged unlock and locked allocation</w:t>
            </w:r>
          </w:p>
        </w:tc>
      </w:tr>
    </w:tbl>
    <w:p>
      <w:pPr>
        <w:spacing w:after="40"/>
      </w:pPr>
    </w:p>
    <w:p>
      <w:pPr>
        <w:pStyle w:val="Heading1"/>
      </w:pPr>
      <w:r>
        <w:t>8. Launch, liquidity, and unlock discipline</w:t>
      </w:r>
    </w:p>
    <w:p>
      <w:r>
        <w:t>The current launch model is a controlled start, not the release of every allocation into circulation. The model separates total supply, allocation buckets, liquidity inventory, and circulating supply.</w:t>
      </w:r>
    </w:p>
    <w:tbl>
      <w:tblPr>
        <w:tblW w:type="auto" w:w="0"/>
        <w:jc w:val="center"/>
        <w:tblLayout w:type="fixed"/>
        <w:tblLook w:firstColumn="1" w:firstRow="1" w:lastColumn="0" w:lastRow="0" w:noHBand="0" w:noVBand="1" w:val="04A0"/>
      </w:tblPr>
      <w:tblGrid>
        <w:gridCol w:w="4680"/>
        <w:gridCol w:w="4680"/>
      </w:tblGrid>
      <w:tr>
        <w:trPr>
          <w:tblHeader w:val="true"/>
        </w:trPr>
        <w:tc>
          <w:tcPr>
            <w:tcW w:type="dxa" w:w="3384"/>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Launch reference</w:t>
            </w:r>
          </w:p>
        </w:tc>
        <w:tc>
          <w:tcPr>
            <w:tcW w:type="dxa" w:w="5976"/>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Value</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Start price reference</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0.001 USDT / ONNE</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First DEX pool reference</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2,000 TON + 3,180,000 ONNE</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Start FDV reference</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1.01M USDT</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Early community / legacy conversion</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Locked / non-circulating at launch</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Dry-run denomination coefficient</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215.551052515 ONNE Point = 1 ONNE</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Miner/staking cohort with rewards</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approximately 3.028M ONNE in the dry-run model</w:t>
            </w:r>
          </w:p>
        </w:tc>
      </w:tr>
    </w:tbl>
    <w:p>
      <w:pPr>
        <w:spacing w:after="40"/>
      </w:pPr>
    </w:p>
    <w:p>
      <w:pPr>
        <w:pStyle w:val="ListBullet"/>
        <w:spacing w:after="80"/>
      </w:pPr>
      <w:r>
        <w:t>Early balances do not enter the market in a single event.</w:t>
      </w:r>
    </w:p>
    <w:p>
      <w:pPr>
        <w:pStyle w:val="ListBullet"/>
        <w:spacing w:after="80"/>
      </w:pPr>
      <w:r>
        <w:t>Locked allocation, staking-default behavior, and liquidity gates protect the market against sudden sell pressure.</w:t>
      </w:r>
    </w:p>
    <w:p>
      <w:pPr>
        <w:pStyle w:val="ListBullet"/>
        <w:spacing w:after="80"/>
      </w:pPr>
      <w:r>
        <w:t>Allocations for the no-miner cohort remain restricted and non-circulating until eligibility rules are satisfied.</w:t>
      </w:r>
    </w:p>
    <w:p>
      <w:pPr>
        <w:pStyle w:val="ListBullet"/>
        <w:spacing w:after="80"/>
      </w:pPr>
      <w:r>
        <w:t>The team allocation is under locked vesting and does not create immediate launch supply.</w:t>
      </w:r>
    </w:p>
    <w:p>
      <w:pPr>
        <w:pStyle w:val="Heading1"/>
      </w:pPr>
      <w:r>
        <w:t>9. Deflationary economy</w:t>
      </w:r>
    </w:p>
    <w:p>
      <w:r>
        <w:t>SpaceOnne combines several deflationary and supply-control mechanisms: ONNE spent on miners may be burned; ONNE in staking leaves free circulation for the duration of a position; early allocations are released gradually; and accepted content forms the digital asset that supports the token narrative.</w:t>
      </w:r>
    </w:p>
    <w:tbl>
      <w:tblPr>
        <w:tblW w:type="auto" w:w="0"/>
        <w:jc w:val="center"/>
        <w:tblLayout w:type="fixed"/>
        <w:tblLook w:firstColumn="1" w:firstRow="1" w:lastColumn="0" w:lastRow="0" w:noHBand="0" w:noVBand="1" w:val="04A0"/>
      </w:tblPr>
      <w:tblGrid>
        <w:gridCol w:w="4680"/>
        <w:gridCol w:w="4680"/>
      </w:tblGrid>
      <w:tr>
        <w:trPr>
          <w:tblHeader w:val="true"/>
        </w:trPr>
        <w:tc>
          <w:tcPr>
            <w:tcW w:type="dxa" w:w="2880"/>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Mechanism</w:t>
            </w:r>
          </w:p>
        </w:tc>
        <w:tc>
          <w:tcPr>
            <w:tcW w:type="dxa" w:w="6480"/>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Effect</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Miner burn</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ONNE spent to purchase miners may be burned, reducing available supply</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Staking</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ONNE locked in staking leaves free circulation for the duration of a position</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Validation commission</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Miners receive commission for useful validation work rather than passive ownership</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Content backing</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Accepted 360 and 3D content becomes a real digital-space asset</w:t>
            </w:r>
          </w:p>
        </w:tc>
      </w:tr>
      <w:tr>
        <w:trPr>
          <w:cantSplit/>
        </w:trPr>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Measured unlocks</w:t>
            </w:r>
          </w:p>
        </w:tc>
        <w:tc>
          <w:tcPr>
            <w:tcW w:type="dxa" w:w="468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Early allocations are released under staged, liquidity-aware rules</w:t>
            </w:r>
          </w:p>
        </w:tc>
      </w:tr>
    </w:tbl>
    <w:p>
      <w:pPr>
        <w:spacing w:after="40"/>
      </w:pPr>
    </w:p>
    <w:p>
      <w:pPr>
        <w:pStyle w:val="Heading1"/>
      </w:pPr>
      <w:r>
        <w:t>10. Roadmap</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2376"/>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Stage</w:t>
            </w:r>
          </w:p>
        </w:tc>
        <w:tc>
          <w:tcPr>
            <w:tcW w:type="dxa" w:w="2232"/>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Status</w:t>
            </w:r>
          </w:p>
        </w:tc>
        <w:tc>
          <w:tcPr>
            <w:tcW w:type="dxa" w:w="4752"/>
            <w:vAlign w:val="center"/>
            <w:shd w:fill="EAF3FA"/>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color w:val="1F4D78"/>
                <w:sz w:val="19"/>
              </w:rPr>
              <w:t>Focus</w:t>
            </w:r>
          </w:p>
        </w:tc>
      </w:tr>
      <w:tr>
        <w:trPr>
          <w:cantSplit/>
        </w:trPr>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Free-distribution era</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Completed</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Early participation and internal ONNE Point balances</w:t>
            </w:r>
          </w:p>
        </w:tc>
      </w:tr>
      <w:tr>
        <w:trPr>
          <w:cantSplit/>
        </w:trPr>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Protocol 101 and ONNE on TON</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Launched / active layer</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ONNE contract, wallet operations, staking mechanics, and miner utility</w:t>
            </w:r>
          </w:p>
        </w:tc>
      </w:tr>
      <w:tr>
        <w:trPr>
          <w:cantSplit/>
        </w:trPr>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Staking</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Active product layer</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ONNE lock, reward logic by miner level, and supply control</w:t>
            </w:r>
          </w:p>
        </w:tc>
      </w:tr>
      <w:tr>
        <w:trPr>
          <w:cantSplit/>
        </w:trPr>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Atlas / RWA</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Product-expansion layer</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360 / 3D tasks, content validation, and creation of the digital-space asset</w:t>
            </w:r>
          </w:p>
        </w:tc>
      </w:tr>
      <w:tr>
        <w:trPr>
          <w:cantSplit/>
        </w:trPr>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Native surfaces</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Product-surface expansion</w:t>
            </w:r>
          </w:p>
        </w:tc>
        <w:tc>
          <w:tcPr>
            <w:tcW w:type="dxa" w:w="3120"/>
            <w:vAlign w:val="center"/>
            <w:tcBorders>
              <w:top w:val="single" w:sz="4" w:space="0" w:color="D7E2DE"/>
              <w:left w:val="single" w:sz="4" w:space="0" w:color="D7E2DE"/>
              <w:bottom w:val="single" w:sz="4" w:space="0" w:color="D7E2DE"/>
              <w:right w:val="single" w:sz="4" w:space="0" w:color="D7E2DE"/>
            </w:tcBorders>
          </w:tcPr>
          <w:p>
            <w:pPr>
              <w:spacing w:before="0" w:after="60"/>
            </w:pPr>
            <w:r>
              <w:rPr>
                <w:rFonts w:ascii="Calibri" w:hAnsi="Calibri"/>
                <w:b w:val="0"/>
                <w:color w:val="141F1D"/>
                <w:sz w:val="19"/>
              </w:rPr>
              <w:t>Web, Telegram Web App, iOS, and Android under one legal and product framework</w:t>
            </w:r>
          </w:p>
        </w:tc>
      </w:tr>
    </w:tbl>
    <w:p>
      <w:pPr>
        <w:spacing w:after="40"/>
      </w:pPr>
    </w:p>
    <w:p>
      <w:pPr>
        <w:pStyle w:val="Heading1"/>
      </w:pPr>
      <w:r>
        <w:t>11. Security, compliance, and user responsibility</w:t>
      </w:r>
    </w:p>
    <w:p>
      <w:pPr>
        <w:pStyle w:val="ListBullet"/>
        <w:spacing w:after="80"/>
      </w:pPr>
      <w:r>
        <w:t>Users are responsible for the legality of capture, route safety, third-party privacy, and compliance with local rules.</w:t>
      </w:r>
    </w:p>
    <w:p>
      <w:pPr>
        <w:pStyle w:val="ListBullet"/>
        <w:spacing w:after="80"/>
      </w:pPr>
      <w:r>
        <w:t>Deposits and withdrawals to external addresses require the correct network, token, address, and memo or comment where applicable.</w:t>
      </w:r>
    </w:p>
    <w:p>
      <w:pPr>
        <w:pStyle w:val="ListBullet"/>
        <w:spacing w:after="80"/>
      </w:pPr>
      <w:r>
        <w:t>Blockchain operations may be irreversible and may depend on external networks, validators, wallets, and infrastructure providers.</w:t>
      </w:r>
    </w:p>
    <w:p>
      <w:pPr>
        <w:pStyle w:val="ListBullet"/>
        <w:spacing w:after="80"/>
      </w:pPr>
      <w:r>
        <w:t>SpaceOnne materials describe product mechanics and do not constitute financial, investment, tax, legal, or accounting advice.</w:t>
      </w:r>
    </w:p>
    <w:p>
      <w:pPr>
        <w:pStyle w:val="ListBullet"/>
        <w:spacing w:after="80"/>
      </w:pPr>
      <w:r>
        <w:t>Access to features may be restricted for legal, sanctions, security, anti-fraud, technical, or provider-policy reasons.</w:t>
      </w:r>
    </w:p>
    <w:p>
      <w:pPr>
        <w:pStyle w:val="Heading1"/>
      </w:pPr>
      <w:r>
        <w:t>12. Conclusion</w:t>
      </w:r>
    </w:p>
    <w:p>
      <w:r>
        <w:t>SpaceOnne is built around a specific value loop: useful spatial work creates verified digital space; verified digital space supports ONNE; and ONNE rewards the people and validators who make that asset real.</w:t>
      </w:r>
    </w:p>
    <w:p>
      <w:r>
        <w:t>Use the platform’s official resources to confirm information, obtain support, and review current product rules.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D6F6A"/>
        <w:sz w:val="17"/>
      </w:rPr>
      <w:t>Copyright 2026 SpaceOnne. Informational material, not financial advice.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color w:val="5D6F6A"/>
        <w:sz w:val="18"/>
      </w:rPr>
      <w:t>SpaceOnne Whitepaper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41F1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B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B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language>en-US</dc:language>
  <dc:identifier>spaceonne-whitepaper-2026-08-20-1-en</dc:identifier>
</cp:coreProperties>
</file>